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13</w:t>
      </w:r>
    </w:p>
    <w:p>
      <w:r>
        <w:t>Bundesgericht (BGE), 1988-12-30, DE</w:t>
      </w:r>
    </w:p>
    <w:p>
      <w:r>
        <w:rPr>
          <w:b/>
        </w:rPr>
        <w:t xml:space="preserve">Quelle: </w:t>
      </w:r>
      <w:r>
        <w:t>https://mcp.opencaselaw.ch/entscheid/bge_117 II 13</w:t>
      </w:r>
    </w:p>
    <w:p>
      <w:r>
        <w:t>FR: ATF 117 II 13</w:t>
      </w:r>
    </w:p>
    <w:p>
      <w:r>
        <w:t>IT: DTF 117 II 13</w:t>
      </w:r>
    </w:p>
    <w:p>
      <w:pPr>
        <w:pStyle w:val="Heading2"/>
      </w:pPr>
      <w:r>
        <w:t>Regeste</w:t>
      </w:r>
    </w:p>
    <w:p>
      <w:r>
        <w:t>Regeste Art. 152 ZGB. Rente an die geschiedene Ehefrau. Ein ehewidriges Verhalten eines Ehegatten, das vom andern Gatten verziehen worden ist, kann trotzdem als Zerrüttungsursache in Betracht fallen. Die Verzeihung bewirkt nicht Schuldlosigkeit im Sinne von Art. 152 ZGB.</w:t>
      </w:r>
    </w:p>
    <w:p>
      <w:pPr>
        <w:pStyle w:val="Heading2"/>
      </w:pPr>
      <w:r>
        <w:t>Erwägungen</w:t>
      </w:r>
    </w:p>
    <w:p>
      <w:r>
        <w:rPr>
          <w:b/>
        </w:rPr>
        <w:t>E. 2</w:t>
      </w:r>
    </w:p>
    <w:p>
      <w:r>
        <w:t>Das Obergericht hat im angefochtenen Urteil festgestellt, den eigentlichen Grund für das zwischen den Parteien entstandene Zerwürfnis habe die Beklagte gesetzt, indem sie im Mai anlässlich der Reise nach X. und Ende Juni 1985 je einen Ehebruch mit H. W. begangen habe. Diese Seitensprünge hätten die entscheidende negative Zäsur im Eheleben der Parteien gebildet und die bis dahin noch nicht zerrüttete Ehe in eine Krise gestürzt. Das ungeschickte, die Beklagte ihrerseits verletzende Verhalten des Klägers sei nur als Reaktion auf ihre Eheverfehlungen aufzufassen und falle nicht als selbständige und schuldhaft herbeigeführte Zerrüttungsursache in Betracht. Diese sei vielmehr allein im ehebrecherischen Verhalten der Beklagten zu erblicken. Aufgrund des Beweisergebnisses könne keine Rede davon sein, dass die Ehe 1985 bei der Reise nach X. durch ein schuldhaftes Verhalten des Klägers bereits schwer angeschlagen gewesen sei. Die Beklagte könne daher nicht als schuldlos gelten, weshalb ihr Begehren auf Zusprechung einer Bedürftigkeitsrente abzuweisen sei. Demgegenüber stellt sich die Beklagte auf den Standpunkt, dass ihr der Kläger ihre beiden Seitensprünge vom Mai und Juni 1985 mit H. W. - zumindest durch konkludentes Verhalten - verziehen habe. Es verbiete sich daher, diese Ehewidrigkeiten bei der Prüfung der Frage, ob ihr eine Rentenberechtigung zukomme, als anspruchshemmendes Verschulden zu berücksichtigen. Sie habe vielmehr mangels anderer tauglicher Vorwürfe als schuldlos im Sinne von Art. 152 ZGB zu gelten.</w:t>
      </w:r>
    </w:p>
    <w:p>
      <w:r>
        <w:rPr>
          <w:b/>
        </w:rPr>
        <w:t>E. 3</w:t>
      </w:r>
    </w:p>
    <w:p>
      <w:r>
        <w:t>Die Feststellungen des Obergerichts über die Zerrüttungsursachen betreffen tatsächliche Verhältnisse ( BGE 92 II 140 E. 2 und BGE 87 II 2 ff. E. 2 und 3, je mit Hinweisen) und sind daher für das Bundesgericht verbindlich, nachdem die Beklagte weder BGE 117 II 13 S. 15 geltend macht, sie seien unter Verletzung bundesrechtlicher Beweisvorschriften zustande gekommen, noch sie würden offensichtlich auf Versehen beruhen ( Art. 63 Abs. 2 OG ). Die weitere, in der Berufungsschrift an diesen Feststellungen geäusserte Kritik ist nach Art. 55 Abs. 1 lit. c OG unzulässig. Es bleibt daher die Frage zu prüfen, ob die von der Beklagten behauptete Verzeihung ihrer Fehltritte durch den Kläger für den Entscheid über ihre Rentenberechtigung von Bedeutung sei. Das Obergericht hat sich darüber nicht in erkennbarer Weise geäussert. Durch Verzeihung gibt der verletzte Ehegatte zu erkennen, dass er die ihm durch die eheliche Verfehlung des andern Gatten zugefügte Kränkung nachsehe und die Ehe trotz dieses Verhaltens seines Partners fortsetzen wolle (BÜHLER/SPÜHLER, Einleitung, N 77). In den Art. 137 und 138 ZGB wird je in Absatz 3 ausdrücklich festgehalten, dass der Verzeihung eine klageausschliessende Wirkung zukommt. Da es sich dabei um ein allgemeines Rechtsprinzip handelt, gilt es nach der Rechtsprechung des Bundesgerichts auch im Zusammenhang mit Eheungültigkeitsklagen ( BGE 54 II 355 mit Hinweis). Hingegen schliesst die Verzeihung nicht aus, dass das verziehene ehewidrige Verhalten den allgemeinen Scheidungsgrund der tiefen Zerrüttung zu erfüllen vermag, wenn es trotz der Verzeihung Nachwirkungen äussert oder mit weiteren Ursachen zusammenfällt, welche die Ehe zerrütten und das Zusammenleben unerträglich machen ( BGE 50 II 324 f. und BGE 39 II 183 E. 1; BÜHLER/SPÜHLER, Einleitung, N 59); denn aus dem Zustand der ehelichen Zerrüttung entsteht fortwährend das Recht auf Scheidung, und das Verschulden als Ursache bestehender Zerrüttung wird durch Verzeihung nicht ungeschehen gemacht, sowenig als die Verfehlung selber. Die Bedeutung der Verzeihung erschöpft sich vielmehr in der unmittelbaren Verwirkung des Klagerechts ( BGE 53 II 440 und BGE 50 II 324 ; LIENERT, Die Schuld bei der Ehescheidung nach schweizerischem Recht, Diss. Zürich 1950, S. 48, und ZEHNDER, Die Verzeihung im schweizerischen Ehescheidungs- und Erbrecht, Diss. Zürich 1953, S. 79). Der Ehegatte, dem eine zum Verschulden gereichende eheliche Verfehlung verziehen worden ist, gilt daher nicht als schuldlos, sondern muss sich bei einer späteren Scheidung sowohl im Rahmen von Art. 142 wie auch von Art. 152 ZGB sein Verschulden entgegenhalten lassen. Mit dem Obergericht ist davon auszugehen, dass sich die Beklagte mit ihren Seitensprüngen gegen die eheliche Treuepflicht schwer vergangen hat. Es ist ihr daher ein erhebliches Verschulden BGE 117 II 13 S. 16 im Sinne von Art. 152 ZGB anzulasten. Nach dem Ausgeführten würde sie auch dann nicht als schuldlos gelten, wenn ihr der Kläger die beiden Ehebrüche verziehen haben sollte. Die Beklagte kann somit - wie das Obergericht zutreffend erkannt hat - keinen Anspruch auf eine Bedürftigkeitsrente geltend machen. Damit fallen aber auch ihre andern Begehren dahin. Ihre Berufung ist deshalb abzuweisen, soweit auf sie überhaupt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